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518</w:t>
      </w:r>
    </w:p>
    <w:p>
      <w:r>
        <w:t>Bundesgericht (BGE), 2013-11-26, DE</w:t>
      </w:r>
    </w:p>
    <w:p>
      <w:r>
        <w:rPr>
          <w:b/>
        </w:rPr>
        <w:t xml:space="preserve">Quelle: </w:t>
      </w:r>
      <w:r>
        <w:t>https://mcp.opencaselaw.ch/entscheid/bge_142 III 518</w:t>
      </w:r>
    </w:p>
    <w:p>
      <w:r>
        <w:t>FR: ATF 142 III 518</w:t>
      </w:r>
    </w:p>
    <w:p>
      <w:r>
        <w:t>IT: DTF 142 III 518</w:t>
      </w:r>
    </w:p>
    <w:p>
      <w:pPr>
        <w:pStyle w:val="Heading2"/>
      </w:pPr>
      <w:r>
        <w:t>Regeste</w:t>
      </w:r>
    </w:p>
    <w:p>
      <w:r>
        <w:t>Regeste Art. 276 und 279 ZPO, Art. 176 ZGB; Möglichkeiten der Abänderung einer auf Vereinbarung beruhenden Eheschutzmassnahme oder einer vorsorglichen Massnahme im Scheidungsverfahren. Es gelten die gleichen Restriktionen, wie sie die Rechtsprechung für die Scheidungskonventionen umschrieben hat (E. 2.6).</w:t>
      </w:r>
    </w:p>
    <w:p>
      <w:pPr>
        <w:pStyle w:val="Heading2"/>
      </w:pPr>
      <w:r>
        <w:t>Erwägungen</w:t>
      </w:r>
    </w:p>
    <w:p>
      <w:r>
        <w:rPr>
          <w:b/>
        </w:rPr>
        <w:t>E. 2</w:t>
      </w:r>
    </w:p>
    <w:p>
      <w:r>
        <w:t>(...)</w:t>
      </w:r>
    </w:p>
    <w:p>
      <w:r>
        <w:rPr>
          <w:b/>
        </w:rPr>
        <w:t>E. 2.5</w:t>
      </w:r>
    </w:p>
    <w:p>
      <w:r>
        <w:t>So wie über die Scheidungsfolgen eine genehmigungsbedürftige Konvention geschlossen werden kann ( Art. 279 ZPO ), können auch die Unterhaltsregelungen im Eheschutz- und Scheidungsverfahren ( Art. 176 ZGB und Art. 276 ZPO ) auf Vereinbarung beruhen. Eine Übereinkunft ermöglicht es den Parteien, Ungewissheiten bezüglich der beurteilungsrelevanten Tatsachen oder deren rechtlicher Tragweite endgültig zu bereinigen (vgl. Urteile 5A_688/2013 vom 14. April 2014 E. 8.2 und 5A_187/2013 vom 4. Oktober 2013 E. 7.1 [betreffend Vereinbarungen zu den Scheidungsfolgen]). (...) Soweit mit der gütlichen Einigung eine vollständige Beurteilung der Tatsachen und ihrer rechtlichen Tragweite vermieden werden sollte, bleiben die betreffenden Teile der Regelung unabänderlich (erwähntes Urteil 5A_187/2013 E. 7.1).</w:t>
      </w:r>
    </w:p>
    <w:p>
      <w:r>
        <w:rPr>
          <w:b/>
        </w:rPr>
        <w:t>E. 2.6</w:t>
      </w:r>
    </w:p>
    <w:p>
      <w:r>
        <w:t>Vor diesem Hintergrund sind die Möglichkeiten, eine auf Vereinbarung beruhende Eheschutzmassnahme oder vorsorgliche Massnahme im Scheidungsverfahren abzuändern, eingeschränkt. Es gelten die gleichen Restriktionen, wie sie die Rechtsprechung für die Scheidungskonventionen umschrieben hat (vgl. erwähnte Urteile 5A_688/2013 und 5A_187/2013, je a.a.O.):</w:t>
      </w:r>
    </w:p>
    <w:p>
      <w:r>
        <w:rPr>
          <w:b/>
        </w:rPr>
        <w:t>E. 2.6.1</w:t>
      </w:r>
    </w:p>
    <w:p>
      <w:r>
        <w:t>Eine Anpassung kann nur verlangt werden, wenn erhebliche tatsächliche Änderungen Teile des Sachverhalts betreffen, welche im Zeitpunkt der Vereinbarung als feststehend angesehen wurden. BGE 142 III 518 S. 520 Keine Anpassung an wesentlich und dauernd veränderte Verhältnisse gibt es hingegen bezüglich Tatsachen, welche vergleichsweise definiert worden sind, um eine ungewisse Sachlage zu bewältigen (sog. caput controversum ), zumal hier eine Referenzgrösse fehlt, an welcher die Erheblichkeit einer allfälligen Veränderung gemessen werden könnte. Vorbehalten bleiben neue Tatsachen, die klarerweise ausserhalb des Spektrums der künftigen Entwicklungen liegen, welche aus Sicht der Vergleichsparteien möglich (wenn auch ungewiss) erschienen.</w:t>
      </w:r>
    </w:p>
    <w:p>
      <w:r>
        <w:rPr>
          <w:b/>
        </w:rPr>
        <w:t>E. 2.6.2</w:t>
      </w:r>
    </w:p>
    <w:p>
      <w:r>
        <w:t>Auch die Berichtigung einer vorsorglichen Massnahme wegen originär unzutreffender Entscheidungsgrundlagen ist eingeschränkt, soweit die Unterhaltsregelung auf einer Vereinbarung fusst, mit welcher die Parteien eine Rechtsstreitigkeit definitiv beenden wollten. Eine Änderung kommt generell nur im Falle eines rechtserheblichen Willensmangels, das heisst bei Irrtum ( Art. 23 ff. OR ), Täuschung ( Art. 28 OR ) oder Drohung (Art. 29 f. OR), in Frage. Ein Irrtum ist erheblich, wenn beide Parteien beim Abschluss der Vereinbarung einen bestimmten Sachverhalt als gegeben vorausgesetzt haben, dieser sich nachträglich jedoch als unrichtig erwiesen hat, oder wenn eine Partei irrtümlich von einer Tatsache ausgegangen ist, ohne die sie die Vereinbarung (für die andere Partei ersichtlich) so nicht abgeschlossen hätte. Die weiter gefassten Möglichkeiten der Berichtigung eines auf unzutreffenden Voraussetzungen beruhenden Entscheids (vgl. Art. 268 Abs. 1 ZPO ; Urteil 5A_22/2014 vom 13. Mai 2014 E. 3.1 mit Hinweisen; OMBLINE DE PORET BORTOLASO, Le calcul des contributions d'entretien, SJ 2016 II S. 162; ISENRING/KESSLER, in: Basler Kommentar, Zivilgesetzbuch, Bd. I, 5. Aufl. 2014, N. 4 zu Art. 179 ZGB ) kommen nicht zum Tragen. Im Bereich des caput controversum besteht ohnehin kein Raum für einen Irrtum; andernfalls würden gerade die Fragen wieder aufgerollt, derentwegen die Beteiligten den Vergleich - mit dem Ziel einer endgültigen Regelung - geschlossen haben ( BGE 130 III 49 E. 1.2 S. 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